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2022</w:t>
      </w:r>
      <w:r>
        <w:rPr>
          <w:rFonts w:hint="eastAsia" w:ascii="宋体" w:hAnsi="宋体" w:cs="宋体"/>
          <w:b/>
          <w:sz w:val="44"/>
          <w:szCs w:val="44"/>
        </w:rPr>
        <w:t>年平顶山市卫东区残疾人联合会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目</w:t>
      </w:r>
      <w:r>
        <w:rPr>
          <w:rFonts w:ascii="宋体" w:hAnsi="宋体" w:cs="宋体"/>
          <w:b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sz w:val="52"/>
          <w:szCs w:val="52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第一部分　平顶山市卫东区残疾人联合会概况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一、主要职能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二、部门预算单位构成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第二部分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平顶山市卫东区残疾人联合会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606" w:firstLineChars="500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情况说明</w:t>
      </w:r>
      <w:r>
        <w:rPr>
          <w:rFonts w:ascii="宋体" w:hAnsi="宋体" w:cs="宋体"/>
          <w:b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第三部分　名词解释</w:t>
      </w:r>
      <w:r>
        <w:rPr>
          <w:rFonts w:ascii="宋体" w:hAnsi="宋体" w:cs="宋体"/>
          <w:b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附件：平顶山市卫东区残疾人联合会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一、部门收支预算表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二、部门收入预算表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三、部门支出预算表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四、财政拨款收支预算表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五、一般公共预算支出预算表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六、一般公共预算基本支出表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七、支出经济分类汇总表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八、一般公共预算“三公”经费预算表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政府性基金支出预算表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十、项目支出预算表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十一、部门（单位）整体绩效目标表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十二、部门预算项目绩效目标汇总表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十三、国有资本经营预算情况表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十四、政府采购汇总表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第一部分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平顶山市卫东区残疾人联合会概况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6" w:firstLineChars="500"/>
        <w:textAlignment w:val="auto"/>
        <w:rPr>
          <w:rFonts w:ascii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52" w:firstLineChars="203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平顶山市卫东区残疾人联合会</w:t>
      </w:r>
      <w:r>
        <w:rPr>
          <w:rFonts w:hint="eastAsia" w:ascii="宋体" w:hAnsi="宋体" w:cs="宋体"/>
          <w:b/>
          <w:bCs/>
          <w:sz w:val="32"/>
          <w:szCs w:val="32"/>
        </w:rPr>
        <w:t>主要职能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9" w:firstLineChars="203"/>
        <w:textAlignment w:val="auto"/>
        <w:rPr>
          <w:rFonts w:ascii="宋体" w:cs="宋体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听取残疾人意见，反应残疾人需求，维护残疾人权益，为残疾人服务；团结、教育残疾人遵守法律，履行应尽的义务，发扬乐观进取精神，自尊、自信、自强、自立，为社会主义建设贡献力量；弘扬人道主义，宣传残疾人事业，沟通政府、社会与残疾人之间的联系，动员社会理解、尊重、关心、帮助残疾人；开展残疾人康复、教育、劳动就业、文化、体育、用品供应、无障碍设施和残疾预防等工作，创造良好的环境和条件，扶助残疾人平等参与社会生活；协助区政府实施残疾人事业的法规、政策、规划和计划，对有关业务领域进行指导和管理；承担卫东区人民政府残疾人工作委员会的日常工作，做好综合、组织、协调和服务。</w:t>
      </w: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平顶山市卫东区残疾人联合会</w:t>
      </w:r>
      <w:r>
        <w:rPr>
          <w:rFonts w:hint="eastAsia" w:ascii="宋体" w:hAnsi="宋体" w:cs="宋体"/>
          <w:b/>
          <w:bCs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平顶山市卫东区残疾人联合会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年部门预算仅包含本级预算，无所属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事业单位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。纳入平顶山市卫东区残疾人联合会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 xml:space="preserve"> 2022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年度部门预算编制范围的单位包括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 xml:space="preserve">: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平顶山市卫东区残疾人联合会本级。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  <w:lang w:val="zh-TW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平顶山市卫东区残疾人联合会</w:t>
      </w:r>
      <w:r>
        <w:rPr>
          <w:rFonts w:hint="eastAsia" w:ascii="仿宋" w:hAnsi="仿宋" w:eastAsia="仿宋" w:cs="仿宋"/>
          <w:sz w:val="32"/>
          <w:szCs w:val="32"/>
        </w:rPr>
        <w:t>设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个内设机构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办公室、财务室、康复部、组联部、教就部、维权部。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第二部分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平顶山市卫东区残疾人联合会</w:t>
      </w:r>
      <w:r>
        <w:rPr>
          <w:rFonts w:ascii="宋体" w:hAnsi="宋体" w:cs="宋体"/>
          <w:b/>
          <w:bCs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3" w:firstLineChars="250"/>
        <w:textAlignment w:val="auto"/>
        <w:rPr>
          <w:rFonts w:ascii="宋体" w:cs="宋体"/>
          <w:b/>
          <w:bCs/>
          <w:color w:val="0000FF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textAlignment w:val="auto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收入总计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873.91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</w:rPr>
        <w:t>支出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总计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873.91</w:t>
      </w:r>
      <w:r>
        <w:rPr>
          <w:rFonts w:hint="eastAsia" w:ascii="仿宋_GB2312" w:hAnsi="宋体" w:eastAsia="仿宋_GB2312"/>
          <w:bCs/>
          <w:sz w:val="32"/>
          <w:szCs w:val="32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2021年预算相比，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712.96万元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 xml:space="preserve">,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增加442.97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。主要原因：残疾人康复等专项资金支出增加。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二、收入预算总体情况说明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年收入预算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873.91</w:t>
      </w:r>
      <w:r>
        <w:rPr>
          <w:rFonts w:hint="eastAsia" w:ascii="仿宋_GB2312" w:hAnsi="宋体" w:eastAsia="仿宋_GB2312"/>
          <w:sz w:val="32"/>
          <w:szCs w:val="32"/>
        </w:rPr>
        <w:t>万元，其中：一般公共预算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747.07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万元；政府性基金收入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36.77万元；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上年结转结余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90.07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三、支出预算总体情况说明</w:t>
      </w:r>
      <w:r>
        <w:rPr>
          <w:rFonts w:ascii="宋体" w:cs="宋体"/>
          <w:b/>
          <w:kern w:val="0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年支出预算</w:t>
      </w:r>
      <w:r>
        <w:rPr>
          <w:rFonts w:ascii="仿宋" w:hAnsi="仿宋" w:eastAsia="仿宋" w:cs="仿宋"/>
          <w:sz w:val="32"/>
          <w:szCs w:val="32"/>
        </w:rPr>
        <w:t>873.91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</w:rPr>
        <w:t>：基本支出121.20万元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占13.87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；项目支出752.71万元，占86.13</w:t>
      </w:r>
      <w:r>
        <w:rPr>
          <w:rFonts w:ascii="仿宋" w:hAnsi="仿宋" w:eastAsia="仿宋" w:cs="仿宋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四、财政拨款收入支出预算总体情况说明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一般公共预算收</w:t>
      </w:r>
      <w:r>
        <w:rPr>
          <w:rFonts w:hint="eastAsia" w:ascii="仿宋_GB2312" w:hAnsi="宋体" w:eastAsia="仿宋_GB2312"/>
          <w:bCs/>
          <w:sz w:val="32"/>
          <w:szCs w:val="32"/>
        </w:rPr>
        <w:t>支预算</w:t>
      </w:r>
      <w:r>
        <w:rPr>
          <w:rFonts w:ascii="仿宋" w:hAnsi="仿宋" w:eastAsia="仿宋" w:cs="仿宋"/>
          <w:sz w:val="32"/>
          <w:szCs w:val="32"/>
        </w:rPr>
        <w:t>814.89</w:t>
      </w:r>
      <w:r>
        <w:rPr>
          <w:rFonts w:hint="eastAsia" w:ascii="仿宋_GB2312" w:hAnsi="宋体" w:eastAsia="仿宋_GB2312"/>
          <w:bCs/>
          <w:sz w:val="32"/>
          <w:szCs w:val="32"/>
        </w:rPr>
        <w:t>万元，比上年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676.95万元</w:t>
      </w:r>
      <w:r>
        <w:rPr>
          <w:rFonts w:ascii="仿宋" w:hAnsi="仿宋" w:eastAsia="仿宋" w:cs="仿宋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sz w:val="32"/>
          <w:szCs w:val="32"/>
        </w:rPr>
        <w:t>增加490.76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。主要原因：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残疾人康复等专项资金支出增加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</w:rPr>
        <w:t>政府性基金收支预算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59.02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Fonts w:ascii="仿宋_GB2312" w:hAnsi="宋体" w:eastAsia="仿宋_GB2312" w:cs="Courier New"/>
          <w:sz w:val="32"/>
          <w:szCs w:val="32"/>
        </w:rPr>
        <w:t>,与上年相比，政府性基金收支预算</w:t>
      </w:r>
      <w:r>
        <w:rPr>
          <w:rFonts w:hint="eastAsia" w:ascii="仿宋_GB2312" w:hAnsi="宋体" w:eastAsia="仿宋_GB2312" w:cs="Courier New"/>
          <w:sz w:val="32"/>
          <w:szCs w:val="32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36.01</w:t>
      </w:r>
      <w:r>
        <w:rPr>
          <w:rFonts w:ascii="仿宋_GB2312" w:hAnsi="宋体" w:eastAsia="仿宋_GB2312" w:cs="Courier New"/>
          <w:sz w:val="32"/>
          <w:szCs w:val="32"/>
        </w:rPr>
        <w:t>万元。国有资本经营预算收支预算0万元，与上年相比，国有资本经营预算收支预算增加0万元，本单位无国有资本经营预算。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五、一般公共预算支出预算情况说明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年一般公共预算支出年初预算为</w:t>
      </w:r>
      <w:r>
        <w:rPr>
          <w:rFonts w:ascii="仿宋" w:hAnsi="仿宋" w:eastAsia="仿宋" w:cs="仿宋"/>
          <w:sz w:val="32"/>
          <w:szCs w:val="32"/>
        </w:rPr>
        <w:t>814.89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</w:rPr>
        <w:t>：基本支出121.20万元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占13.87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；项目支出752.71万元，占86.13</w:t>
      </w:r>
      <w:r>
        <w:rPr>
          <w:rFonts w:ascii="仿宋" w:hAnsi="仿宋" w:eastAsia="仿宋" w:cs="仿宋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六、支出预算经济分类情况说明</w:t>
      </w:r>
      <w:r>
        <w:rPr>
          <w:rFonts w:ascii="宋体" w:hAnsi="宋体" w:cs="宋体"/>
          <w:b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年一般公共预算基本支出年初预算为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121.20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其中：人员经费支出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118.10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default" w:ascii="仿宋_GB2312" w:hAnsi="宋体" w:eastAsia="仿宋_GB2312" w:cs="Courier New"/>
          <w:sz w:val="32"/>
          <w:szCs w:val="32"/>
          <w:lang w:val="en-US"/>
        </w:rPr>
        <w:t>9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7.44</w:t>
      </w:r>
      <w:r>
        <w:rPr>
          <w:rFonts w:hint="eastAsia" w:ascii="仿宋_GB2312" w:hAnsi="宋体" w:eastAsia="仿宋_GB2312" w:cs="Courier New"/>
          <w:sz w:val="32"/>
          <w:szCs w:val="32"/>
        </w:rPr>
        <w:t>%；公用经费支出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3.10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2.56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 w:firstLineChars="196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七、</w:t>
      </w:r>
      <w:r>
        <w:rPr>
          <w:rFonts w:hint="eastAsia" w:ascii="宋体" w:hAnsi="宋体" w:cs="宋体"/>
          <w:b/>
          <w:sz w:val="32"/>
          <w:szCs w:val="32"/>
        </w:rPr>
        <w:t>“三公”</w:t>
      </w:r>
      <w:r>
        <w:rPr>
          <w:rFonts w:hint="eastAsia" w:ascii="宋体" w:hAnsi="宋体" w:cs="宋体"/>
          <w:b/>
          <w:kern w:val="0"/>
          <w:sz w:val="32"/>
          <w:szCs w:val="32"/>
        </w:rPr>
        <w:t>经费支出预算情况说明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年“三公”经费公共预算</w:t>
      </w:r>
      <w:r>
        <w:rPr>
          <w:rFonts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与上年相比增加</w:t>
      </w:r>
      <w:r>
        <w:rPr>
          <w:rFonts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主要原因是油费上涨</w:t>
      </w:r>
      <w:r>
        <w:rPr>
          <w:rFonts w:hint="eastAsia" w:ascii="仿宋" w:hAnsi="仿宋" w:eastAsia="仿宋" w:cs="仿宋"/>
          <w:sz w:val="32"/>
          <w:szCs w:val="32"/>
        </w:rPr>
        <w:t>。其中：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21" w:firstLineChars="1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（一）因公出国（境）费</w:t>
      </w:r>
      <w:r>
        <w:rPr>
          <w:rFonts w:hint="eastAsia" w:ascii="仿宋_GB2312" w:hAnsi="仿宋" w:eastAsia="仿宋_GB2312" w:cs="仿宋"/>
          <w:sz w:val="32"/>
          <w:szCs w:val="32"/>
        </w:rPr>
        <w:t>预算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主要用于单位工作人员公务出国（境）的住宿费、旅费、伙食补助费、杂费、培训费等支出。预算数与上年持平。主要原因：严格执行八项规定，厉行节约，从严控制因公出国（境）经费支出。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预算数比202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年增加0万元，占“三公”经费总额的0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kern w:val="0"/>
          <w:sz w:val="32"/>
          <w:szCs w:val="32"/>
        </w:rPr>
        <w:t>（二）公务用车购置及运行费</w:t>
      </w:r>
      <w:r>
        <w:rPr>
          <w:rFonts w:hint="eastAsia" w:ascii="仿宋" w:hAnsi="仿宋" w:eastAsia="仿宋" w:cs="仿宋"/>
          <w:sz w:val="32"/>
          <w:szCs w:val="32"/>
        </w:rPr>
        <w:t>预算</w:t>
      </w:r>
      <w:r>
        <w:rPr>
          <w:rFonts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万元，与上年相比增加</w:t>
      </w:r>
      <w:r>
        <w:rPr>
          <w:rFonts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万元，占“三公”经费总额的</w:t>
      </w:r>
      <w:r>
        <w:rPr>
          <w:rFonts w:ascii="仿宋" w:hAnsi="仿宋" w:eastAsia="仿宋" w:cs="仿宋"/>
          <w:sz w:val="32"/>
          <w:szCs w:val="32"/>
        </w:rPr>
        <w:t>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.00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。其中，公务用车运行费</w:t>
      </w:r>
      <w:r>
        <w:rPr>
          <w:rFonts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万元，与上年相比增加</w:t>
      </w:r>
      <w:r>
        <w:rPr>
          <w:rFonts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万元，占“三公”经费总额的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0.00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主要原因是油费上涨</w:t>
      </w:r>
      <w:r>
        <w:rPr>
          <w:rFonts w:hint="eastAsia" w:ascii="仿宋" w:hAnsi="仿宋" w:eastAsia="仿宋" w:cs="仿宋"/>
          <w:sz w:val="32"/>
          <w:szCs w:val="32"/>
        </w:rPr>
        <w:t>；公务用车购置预算为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万元，预算数与上年持平。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（三）公务接待费</w:t>
      </w:r>
      <w:r>
        <w:rPr>
          <w:rFonts w:hint="eastAsia" w:ascii="仿宋_GB2312" w:hAnsi="仿宋" w:eastAsia="仿宋_GB2312" w:cs="仿宋"/>
          <w:sz w:val="32"/>
          <w:szCs w:val="32"/>
        </w:rPr>
        <w:t>预算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主要用于按规定开支的各类公务接待（含外宾接待）支出。</w:t>
      </w:r>
      <w:r>
        <w:rPr>
          <w:rFonts w:hint="eastAsia" w:ascii="仿宋" w:hAnsi="仿宋" w:eastAsia="仿宋" w:cs="仿宋"/>
          <w:sz w:val="32"/>
          <w:szCs w:val="32"/>
        </w:rPr>
        <w:t>预算数与上年持平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八、政府性基金预算支出预算情况说明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部门</w:t>
      </w:r>
      <w:r>
        <w:rPr>
          <w:rFonts w:ascii="仿宋_GB2312" w:hAnsi="仿宋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年政府性基金预算支出59.02万元，预算数比上年增加36.01万元，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156%，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主要原因是</w:t>
      </w:r>
      <w:r>
        <w:rPr>
          <w:rFonts w:hint="eastAsia" w:ascii="仿宋_GB2312" w:hAnsi="仿宋" w:eastAsia="仿宋_GB2312" w:cs="仿宋"/>
          <w:sz w:val="32"/>
          <w:szCs w:val="32"/>
        </w:rPr>
        <w:t>上级补助金额增加。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20" w:left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九、其他重要事项的情况说明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（一）机关运行经费预算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年，机关运行经费支出预算</w:t>
      </w: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10万元，主要用于办公及印刷费、邮电费、差旅费、会议费、水、电、暖、物业管理等运行维护费、公务用车运行维护费以及其他费用。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2" w:firstLineChars="147"/>
        <w:textAlignment w:val="auto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政府采购支出情况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年，政府采购预算安排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万元，其中：政府采购货物预算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万元、政府采购服务预算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2" w:firstLineChars="147"/>
        <w:textAlignment w:val="auto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0" w:firstLineChars="147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年，我单位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6个项目进行预算绩效评价，涉及金额662.64万元，并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0" w:firstLineChars="147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年期末，我单位共有车辆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辆，其中：一般公务用车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一般执法执勤用车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辆、特种专业技术用车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辆，其他用车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辆；单价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万元以上通用设备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套，单位价值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万元以上专用设备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0" w:firstLineChars="147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kern w:val="0"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我单位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年没有专项转移支付项目。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第三部分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宋体" w:cs="宋体"/>
          <w:b/>
          <w:bCs/>
          <w:color w:val="0000FF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285" w:firstLineChars="40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平顶山市卫东区残疾人联合会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E5B4F"/>
    <w:multiLevelType w:val="singleLevel"/>
    <w:tmpl w:val="2FDE5B4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lNmJhMDk1MWRiNTNlZWNmNGQwMDhiMDlkY2ZiOTkifQ=="/>
  </w:docVars>
  <w:rsids>
    <w:rsidRoot w:val="006519D9"/>
    <w:rsid w:val="001633A6"/>
    <w:rsid w:val="0030592D"/>
    <w:rsid w:val="006519D9"/>
    <w:rsid w:val="006A7495"/>
    <w:rsid w:val="00E97249"/>
    <w:rsid w:val="00FF138E"/>
    <w:rsid w:val="020531A4"/>
    <w:rsid w:val="037B4E1A"/>
    <w:rsid w:val="04163446"/>
    <w:rsid w:val="047F723D"/>
    <w:rsid w:val="04C653AC"/>
    <w:rsid w:val="0AC42B31"/>
    <w:rsid w:val="0B167B56"/>
    <w:rsid w:val="0B352404"/>
    <w:rsid w:val="12035F47"/>
    <w:rsid w:val="13D529D6"/>
    <w:rsid w:val="1481490C"/>
    <w:rsid w:val="16415DC8"/>
    <w:rsid w:val="1B740D26"/>
    <w:rsid w:val="1D8A2A83"/>
    <w:rsid w:val="21A56978"/>
    <w:rsid w:val="220665E1"/>
    <w:rsid w:val="2221772E"/>
    <w:rsid w:val="22DD3655"/>
    <w:rsid w:val="249D7540"/>
    <w:rsid w:val="2593449F"/>
    <w:rsid w:val="272F1F79"/>
    <w:rsid w:val="282B06AE"/>
    <w:rsid w:val="2A612DBE"/>
    <w:rsid w:val="30C61BCC"/>
    <w:rsid w:val="30F229C1"/>
    <w:rsid w:val="33F24AED"/>
    <w:rsid w:val="37DA2971"/>
    <w:rsid w:val="37FB67FF"/>
    <w:rsid w:val="3B527273"/>
    <w:rsid w:val="3E045AE2"/>
    <w:rsid w:val="3EEA117C"/>
    <w:rsid w:val="3FB47094"/>
    <w:rsid w:val="403A1C8F"/>
    <w:rsid w:val="4557299B"/>
    <w:rsid w:val="45611A6C"/>
    <w:rsid w:val="45DC773E"/>
    <w:rsid w:val="480A2499"/>
    <w:rsid w:val="49B02FC2"/>
    <w:rsid w:val="4E485577"/>
    <w:rsid w:val="4EDE7AF4"/>
    <w:rsid w:val="4EF11D92"/>
    <w:rsid w:val="50894F64"/>
    <w:rsid w:val="53933738"/>
    <w:rsid w:val="573C24C6"/>
    <w:rsid w:val="5C8E68C5"/>
    <w:rsid w:val="5CF000FF"/>
    <w:rsid w:val="5DF70D68"/>
    <w:rsid w:val="5F724B4A"/>
    <w:rsid w:val="61CB6678"/>
    <w:rsid w:val="626D15F8"/>
    <w:rsid w:val="688E5DAD"/>
    <w:rsid w:val="69763B96"/>
    <w:rsid w:val="6E526272"/>
    <w:rsid w:val="6EF07839"/>
    <w:rsid w:val="6F173018"/>
    <w:rsid w:val="6FA26D85"/>
    <w:rsid w:val="700F49B8"/>
    <w:rsid w:val="701D01BA"/>
    <w:rsid w:val="71CB3027"/>
    <w:rsid w:val="74F373E0"/>
    <w:rsid w:val="76101BE7"/>
    <w:rsid w:val="78CF4963"/>
    <w:rsid w:val="79877D78"/>
    <w:rsid w:val="7AD84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7">
    <w:name w:val="Normal (Web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9">
    <w:name w:val="Body text|1"/>
    <w:basedOn w:val="1"/>
    <w:qFormat/>
    <w:uiPriority w:val="0"/>
    <w:pPr>
      <w:spacing w:line="430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3008</Words>
  <Characters>3255</Characters>
  <Lines>25</Lines>
  <Paragraphs>7</Paragraphs>
  <TotalTime>0</TotalTime>
  <ScaleCrop>false</ScaleCrop>
  <LinksUpToDate>false</LinksUpToDate>
  <CharactersWithSpaces>3471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2021-04-21T09:37:00Z</dcterms:created>
  <dc:creator>翾1367974113</dc:creator>
  <cp:lastModifiedBy>HELLO</cp:lastModifiedBy>
  <dcterms:modified xsi:type="dcterms:W3CDTF">2023-05-06T03:25:48Z</dcterms:modified>
  <dc:title>爱喝酸奶的奥利奥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DE31D461C3F84A16BBC8B2A740DCE811</vt:lpwstr>
  </property>
</Properties>
</file>