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附件6</w:t>
      </w:r>
    </w:p>
    <w:p>
      <w:pPr>
        <w:spacing w:line="580" w:lineRule="exact"/>
        <w:jc w:val="center"/>
        <w:rPr>
          <w:rFonts w:hint="eastAsia" w:ascii="仿宋_GB2312" w:hAnsi="Times New Roman" w:eastAsia="仿宋_GB2312"/>
          <w:color w:val="auto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color w:val="auto"/>
          <w:kern w:val="0"/>
          <w:sz w:val="44"/>
          <w:szCs w:val="44"/>
          <w:lang w:eastAsia="zh-CN"/>
        </w:rPr>
        <w:t>卫东区商务局</w:t>
      </w:r>
      <w:r>
        <w:rPr>
          <w:rFonts w:hint="eastAsia" w:ascii="方正小标宋_GBK" w:eastAsia="方正小标宋_GBK"/>
          <w:color w:val="auto"/>
          <w:kern w:val="0"/>
          <w:sz w:val="44"/>
          <w:szCs w:val="44"/>
        </w:rPr>
        <w:t>随机抽查事项清单</w:t>
      </w:r>
    </w:p>
    <w:bookmarkEnd w:id="0"/>
    <w:tbl>
      <w:tblPr>
        <w:tblStyle w:val="2"/>
        <w:tblW w:w="13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303"/>
        <w:gridCol w:w="3354"/>
        <w:gridCol w:w="1260"/>
        <w:gridCol w:w="2745"/>
        <w:gridCol w:w="1110"/>
        <w:gridCol w:w="960"/>
        <w:gridCol w:w="991"/>
        <w:gridCol w:w="761"/>
        <w:gridCol w:w="6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  <w:szCs w:val="28"/>
              </w:rPr>
              <w:t>事项  名称</w:t>
            </w:r>
          </w:p>
        </w:tc>
        <w:tc>
          <w:tcPr>
            <w:tcW w:w="3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  <w:szCs w:val="28"/>
              </w:rPr>
              <w:t>抽查依据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  <w:szCs w:val="28"/>
              </w:rPr>
              <w:t>抽查  对象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  <w:szCs w:val="28"/>
              </w:rPr>
              <w:t>抽查内容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  <w:szCs w:val="28"/>
              </w:rPr>
              <w:t>抽查 主体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  <w:szCs w:val="28"/>
              </w:rPr>
              <w:t>抽查  方式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  <w:szCs w:val="28"/>
              </w:rPr>
              <w:t>抽查比例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  <w:szCs w:val="28"/>
              </w:rPr>
              <w:t>抽查频次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单用途商业预付卡企业监督检查</w:t>
            </w:r>
          </w:p>
        </w:tc>
        <w:tc>
          <w:tcPr>
            <w:tcW w:w="3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《单用途预付卡管理办法（试行）》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单用途商业预付卡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企业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1.三项制度的落实。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2.发卡记录和登记。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3.存管资金。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卫东区商务局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现场检查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有失信行为的：100%；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无失信行为的：10%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报废汽车回收拆解企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业检查</w:t>
            </w:r>
          </w:p>
        </w:tc>
        <w:tc>
          <w:tcPr>
            <w:tcW w:w="3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《报废机动车回收管理办法》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报废汽车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拆解企业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1.销售行为规范情况。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2.销售市场秩序情况。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3.全国汽车流通信息管理系统备案基本信息情况。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卫东区商务局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现场检查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100%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汽车销售及相关服务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活动监督管理</w:t>
            </w:r>
          </w:p>
        </w:tc>
        <w:tc>
          <w:tcPr>
            <w:tcW w:w="3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《汽车销售管理办法》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新车销售企业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根据《报废机动车回收管理办法》对报废机动车回收企业进行监督检查。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卫东区商务局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现场检查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5%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387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</w:rPr>
              <w:t>经办人员：                                                                                主管领导：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B32A7"/>
    <w:rsid w:val="027B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2022-04-19T03:19:00Z</dcterms:created>
  <dc:creator>Administrator</dc:creator>
  <cp:lastModifiedBy>Administrator</cp:lastModifiedBy>
  <dcterms:modified xsi:type="dcterms:W3CDTF">2022-04-19T08:10:25Z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3F02C2065260462B937BAC4CF5387A1E</vt:lpwstr>
  </property>
</Properties>
</file>