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2022年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平顶山市卫东区农业农村和水利局</w:t>
      </w:r>
    </w:p>
    <w:p>
      <w:pPr>
        <w:widowControl w:val="0"/>
        <w:wordWrap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部门预算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说明</w:t>
      </w:r>
    </w:p>
    <w:p>
      <w:pPr>
        <w:widowControl w:val="0"/>
        <w:wordWrap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录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第一部分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平顶山市卫东区农业农村和水利局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概况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主要职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能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部门预算单位构成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平顶山市卫东区农业农村和水利局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年部门预算情况说明   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名词解释   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附件： 平顶山市卫东区农业农村和水利局202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年部门预算表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一、部门收支预算表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二、部门收入预算表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三、部门支出预算表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 xml:space="preserve">四、财政拨款收支预算表    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 xml:space="preserve">五、一般公共预算支出预算表    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六、一般公共预算基本支出表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七、支出经济分类汇总表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八、一般公共预算“三公”经费预算表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九、政府性基金支出预算表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十、项目支出预算表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十一、部门（单位）整体绩效目标表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560" w:lineRule="exact"/>
        <w:ind w:left="0" w:leftChars="0" w:right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十二、部门预算项目绩效目标汇总表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第一部分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平顶山市卫东区农业农村和水利局概况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平顶山市卫东区农业农村和水利局主要职能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（一）统筹研究和组织实施全区“三农”、水利、农业机械、畜牧工作的发展规划，贯彻落实农业农村、水利、农业机械、畜牧有关地方性政策制度，负责农业综合执法；贯彻执行涉农的金融保险等相关政策。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（二）统筹推动全区发展农村社会事业、农村公共服务、农村文化、农村基础设施和乡村治理；牵头组织改善农村人居环境。指导农村精神文明和优秀农耕文化建设，指导农业行业安全生产工作。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三）巩固全区深化农村经济体质改革，完善农村基本经营制度；负责农民承包地、农村宅基地改革和管理有关工作；负责农村集体产权制度改革，指导农村集体经济组织发展和集体资产管理工作；指导农民合作经济组织、农业社会化服务体系、新型农业经营主体建设与发展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（四）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组织开展乡村特色产业、农产品加工业、休闲农业、乡镇企业、农业产业化等工作；提出促进农产品流通的建议，培育、保护农业品牌；发布农业农村经济信息，监测分析农业农村经济运行；承担农业统计和农业农村信息化有关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（五）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负责全区种植业、畜牧业、渔业、农业机械化等农业各产业的监督管理；指导粮食等农产品生产；组织构建现代农业产业体系、生产体系、经营体系，指导农业标准化生产；负责渔业管理和监督管理。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（六）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负责全区农产品质量安全监督管理；组织开展农产品质量安全监测、追溯、风险评估；监督实施农产品质量安全标准，建立健全农业检验检测体系建设。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（七）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组织全区农业资源区划工作；指导农用地、渔业水域及农业生物物种资源的保护与管理；组织水生野生动植物保护、耕地及永久基本农田质量保护工作。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（八）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负责全区农产品产地环境管理和农业清洁生产；负责设施农业、生态循环农业、节水农业发展以及农村可再生能源综合开发利用、农业生物质产业发展，承担外来物种管理相关工作。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（九）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有关农业生产资料和农业投入品的监督管理；负责农药经营许可；组织农业生产资料市场体系建设，监督实施有关农业生产资料标准；监督实施兽药质量、兽药残留限量和残留检测方法标准；负责兽医医政、兽药药政药检工作，负责执业兽医和畜禽屠宰行业管理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eastAsia="zh-CN"/>
        </w:rPr>
        <w:t>（十）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负责全区农业防灾减灾、农作物重大病虫害防治工作；负责动植物防疫检疫体系建设，监督动植物防疫检疫工作，发布疫情并组织扑灭。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（十一）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农业投资管理；提出农业投融资体制机制改革建议；拟定农业投资项目建设规划，提出农业投资规模和方向、扶持农业农村发展财政项目的建议，按规定权限审批农业投资项目，负责农业投资项目资金安排和监督管理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（十二）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推动全区农业科级体制改革和农业科技创新体系建设；指导农业产业技术体系和农技推广体系建设，组织开展农业领域的高新技术和应用技术研究、科技成果转化和技术推广；负责农业转基因生物安全监督管理和农业植物新品种保护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（十三）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负责保障水资源的合理开发利用；监督实施有关规范性文件，组织编制、审查、申报水利综合规划、专业规划和专项规划。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（十四）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负责实施最严格水资源管理制度，实施水资源的统一监督管理；组织实施取水许可、水资源有偿使用制度和水资源论证、防洪论证制度。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（十五）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执行水利工程建设有关制度，负责提出中央、省、市下达的和区级水利固定资产投资规模、方向、具体安排建议，按区政府规定权限审批、核准规划内和年度计划规模内固定资产投资项目，提出中央和省级、市级、区级水利资金安排建议并负责项目实施的监督管理。按区政府规定权限，组织编制、审查、申报水利基本建设项目建议书、可行性研究报告和初步设计，负责审批水利基本建设项目初步设计文件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（十六）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实施水资源保护规划，组织开展河湖水生态保护与修复，指导河湖生态流量水量管理以及河湖水系连通工作；负责饮用水水源保护工作，开展重要江河湖库健康评估，负责监督地下水开发利用和地下水资源管理保护；对地下水的取水量实施监测，发布全区水资源公报；按规定组织开展水资源、水能资源调查评价和水资源承载能力评价及预警工作；负责组织地下水超采区综合治理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（十七）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节约用水政策宣传，组织编制节约用水规划并监督实施，制定有关用水、节水标准。组织实施用水总量控制、用水效率控制、计划用水和定额管理等制度，组织、管理、监督节约用水工作，指导和推动节水型社会建设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（十八）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全区水利设施、水域及其岸线的管理、保护与综合利用；负责全区水利基础设施网络建设；负责江河湖库及滩地的治理、开发和保护；负责水利工程建设与运行管理；负责水利工程质量监督检查工作；承担水利工程造价管理工作，组织实施重要水利工程建设、验收工作；负责全区河道采砂的行业管理和监督检查工作；组织并监督检查全面推行河长制湖长制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 （十九）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负责拟定全区水土保持规划并监督实施，组织实施全区水土流失的综合防治和水土流失监测预报并公告；负责建设项目水土保持监督管理工作，组织水土保持重点建设项目的实施。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负责农村饮水安全工程建设与管理工作；负责节水灌溉有关工作；指导农村水利改革创新和社会化服务体系建设。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（二十一）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负责重大涉农、涉水等违法事件查处工作；负责全区农业、水利、农机、畜牧等行业综合执法；负责本部门行业安全生产和安全监督管理工作。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（二十二）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负责落实全区综合防灾减灾规划相关要求，组织编制洪水干旱灾害防治规划和防护标准并指导实施；承担水情旱情监测预报预警工作；组织编制重要河流和重要水工程的防御洪水、抗御旱灾调度和应急水量调度方案，按程序报批并组织实施；承担防御洪水应急抢险的技术支撑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（二十三）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指导区农业农村人才工作；拟定农业农村人才队伍建设规划并组织实施，指导农业教育和农业职业技能开发，负责新型职业农民培育、农业科级人才培养和农村实用人才培训工作。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（二十四）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牵头开展全区农业、水利等对外合作工作；承办政府间农业、水利等涉外事务，组织开展农业贸易促进和有关国际交流合作；提出主要农产品的出口建议，负责农产品出口基地建设并配合有关部门做好农产品出口工作。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CN"/>
        </w:rPr>
        <w:t xml:space="preserve">   （二十五）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完成区委、区政府和中共平顶山市卫东区委农村工作领导小组交办的其他任务。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平顶山市卫东区农业农村和水利局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预算单位构成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平顶山市卫东区农业农村和水利局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年部门预算包含本级预算和所属单位预算在内的汇总预算。</w:t>
      </w:r>
      <w:r>
        <w:rPr>
          <w:rFonts w:hint="eastAsia" w:ascii="仿宋" w:hAnsi="仿宋" w:eastAsia="仿宋" w:cs="仿宋"/>
          <w:sz w:val="32"/>
          <w:szCs w:val="32"/>
        </w:rPr>
        <w:t>二级机构包含：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卫东区农业技术推广站、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卫东区农村经济管理站、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卫东区绿化事务服务中心、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卫东区畜牧发展服务中心、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卫东区农业农村和水利综合执法大队、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卫东区动物卫生监督所、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卫东区水利事务服务中心。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平顶山市卫东区农业农村和水利局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设有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办公室（行政审批服务股）、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生产技术股（质量安全监督股）、政策法规股（区委农办秘书科）、农业机械管理办公室四个内设机构</w:t>
      </w:r>
      <w:r>
        <w:rPr>
          <w:rFonts w:hint="default" w:ascii="仿宋_GB2312" w:hAnsi="宋体" w:eastAsia="仿宋_GB2312" w:cs="宋体"/>
          <w:bCs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" w:eastAsia="仿宋_GB2312" w:cs="仿宋"/>
          <w:bCs/>
          <w:kern w:val="0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第二部分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平顶山市卫东区农业农村和水利局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部门预算情况说明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一、收入支出预算总体情况说明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年收、支总计均为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2667.01万元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,与上年相比，收、支总计均增加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1338.04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万元, 上升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100.68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%。主要原因：加强对人居环境改善等工作力度，大力发展乡村振兴建设。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二、收入预算总体情况说明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年收入预算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2667.01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万元，其中：一般公共预算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2559.33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万元。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支出预算总体情况说明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年支出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预算2667.01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万元，按用途划分为：基本支出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506.11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 xml:space="preserve"> 万元,占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18.98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%；项目支出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2160.90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81.02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 xml:space="preserve"> % 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四、财政拨款收入支出预算总体情况说明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年一般公共预算收支预算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2667.01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万元，与上年相比，一般公共预算收支预算增加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1338.04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万元，上升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100.68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%,主要原因：加强对人居环境改善等工作力度，大力发展乡村振兴建设。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五、一般公共预算支出预算情况说明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年一般公共预算支出年初预算为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2559.33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万元。主要用于以下方面：农林水事务支出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2445.71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95.56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%；社会保障和就业（类）支出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59.45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2.32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%；医疗卫生（类）支出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21.08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0.83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%；住房保障（类）支出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33.09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1.29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%.</w:t>
      </w:r>
    </w:p>
    <w:p>
      <w:pPr>
        <w:widowControl w:val="0"/>
        <w:numPr>
          <w:ilvl w:val="0"/>
          <w:numId w:val="2"/>
        </w:numPr>
        <w:wordWrap/>
        <w:adjustRightInd/>
        <w:snapToGrid w:val="0"/>
        <w:spacing w:before="0" w:after="0" w:line="560" w:lineRule="exact"/>
        <w:ind w:left="-13" w:leftChars="0" w:right="0" w:firstLine="643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支出预算经济分类情况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按照《财政部关于印发&lt;支出经济分类科目改革方案&gt;的通知》（财预[2017]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从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2018年起从仅反映一般公共预算基本支出经济分类项目预算调整为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按两套经济分类科目分别反应不同资金来源的全部预算支出。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年预算支出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2667.01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万元。其中：基本支出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506.11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主要包括：基本工资、津贴补贴、奖金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2053.22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万元，主要包括：办公费、印刷费、邮电费、差旅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费、维修（护）费、租赁费、会议费、培训费、公务接待费、劳务费、福利费、公务用车运行维护费、其他交通费用、其他商品和服务支出、办公设备购置、信息网络及软件购置更新和其他支出。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七、一般公共预算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“三公”经费预算</w:t>
      </w: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年“三公”经费公共预算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4.2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（一）因公出国（境）费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预算0万元，预算数与 2021 年持平，主要原因是我单位</w:t>
      </w:r>
      <w:r>
        <w:rPr>
          <w:rFonts w:hint="default" w:ascii="仿宋_GB2312" w:hAnsi="宋体" w:eastAsia="仿宋_GB2312" w:cs="宋体"/>
          <w:bCs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2年无因公出国境任务。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（二）公务用车购置及运行费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3.8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与上年持平，占“三公”经费总额的90.48%。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其中，公务用车运行费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3.8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万元，与上年持平，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占“三公”经费总额的90.48%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万元，比上年增加（减少）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主要原因是落实公车改革政策、加强公务用车管理，严控公务用车支出。</w:t>
      </w:r>
    </w:p>
    <w:p>
      <w:pPr>
        <w:widowControl w:val="0"/>
        <w:wordWrap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（三）公务接待费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预算0.4万元，预算数与上年持平，占“三公”经费总额的9.52%。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政府性基金预算支出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预算表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部门202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年政府性基金预算支出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107.68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万元，预算数与上年增加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100.12万元，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主要原因是新增水库移民建设项目。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九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、其他重要事项的情况说明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（一）机关运行经费预算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2022年，机关运行经费支出预算14.92万元，主要用于办公及印刷费、邮电费、差旅费、会议费等运行维护费、公务用车运行维护费以及其他费用。</w:t>
      </w:r>
    </w:p>
    <w:p>
      <w:pPr>
        <w:widowControl w:val="0"/>
        <w:wordWrap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（二）政府采购支出情况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2022年，政府采购预算安排0万元，其中：政府采购货物预算0万元、政府采购工程预算0万元、政府采购服务预算0万元 。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（三）国有资产占用情况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2021年期末，我单位共有车辆6辆，其中：一般公务用车2辆,一般执法执勤用车1辆、特种专业技术用车0辆，其他用车3辆；单价50万元以上通用设备0套，单位价值100万元以上专用设备0套。</w:t>
      </w:r>
    </w:p>
    <w:p>
      <w:pPr>
        <w:widowControl w:val="0"/>
        <w:wordWrap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highlight w:val="none"/>
          <w:lang w:eastAsia="zh-CN"/>
        </w:rPr>
        <w:t>（四）专项转移支付项目情况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我单位2022年没有专项转移支付项目。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名词解释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一、财政拨款收入：是指省级财政当年拨付的资金。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弥补当年收支缺口的资金。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七、“三公”经费：是指纳入省级财政预算管理，部门使用财政拨款安排的因公出国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费、公务用车购置及运行费和公务接待费。其中，因公出国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费反映单位公务出国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含外宾接待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支出。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八、机关运行经费：是指为保障行政单位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含参照公务员法管理的事业单位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ab/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spacing w:before="0" w:after="0"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附件：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ab/>
      </w:r>
    </w:p>
    <w:p>
      <w:pPr>
        <w:widowControl w:val="0"/>
        <w:wordWrap/>
        <w:spacing w:before="0" w:after="0" w:line="560" w:lineRule="exact"/>
        <w:ind w:left="0" w:leftChars="0" w:right="0" w:firstLine="1285" w:firstLineChars="4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平顶山市卫东区农业农村和水利局202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年部门预算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公开附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表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A6210D"/>
    <w:multiLevelType w:val="singleLevel"/>
    <w:tmpl w:val="A6A6210D"/>
    <w:lvl w:ilvl="0" w:tentative="0">
      <w:start w:val="6"/>
      <w:numFmt w:val="chineseCounting"/>
      <w:suff w:val="nothing"/>
      <w:lvlText w:val="%1、"/>
      <w:lvlJc w:val="left"/>
      <w:pPr>
        <w:ind w:left="-13"/>
      </w:pPr>
      <w:rPr>
        <w:rFonts w:hint="eastAsia" w:ascii="宋体" w:hAnsi="宋体" w:eastAsia="宋体" w:cs="宋体"/>
        <w:b/>
        <w:bCs/>
      </w:rPr>
    </w:lvl>
  </w:abstractNum>
  <w:abstractNum w:abstractNumId="1">
    <w:nsid w:val="00000008"/>
    <w:multiLevelType w:val="singleLevel"/>
    <w:tmpl w:val="000000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ZlNmJhMDk1MWRiNTNlZWNmNGQwMDhiMDlkY2ZiOTkifQ=="/>
  </w:docVars>
  <w:rsids>
    <w:rsidRoot w:val="00000000"/>
    <w:rsid w:val="07D83437"/>
    <w:rsid w:val="08090A09"/>
    <w:rsid w:val="1C8C1DEE"/>
    <w:rsid w:val="1F247394"/>
    <w:rsid w:val="1FA72B51"/>
    <w:rsid w:val="23B93F15"/>
    <w:rsid w:val="4041633B"/>
    <w:rsid w:val="465E5986"/>
    <w:rsid w:val="4721645F"/>
    <w:rsid w:val="53B679AA"/>
    <w:rsid w:val="53D629DE"/>
    <w:rsid w:val="550A7637"/>
    <w:rsid w:val="5A4B4A87"/>
    <w:rsid w:val="62E418AB"/>
    <w:rsid w:val="67910468"/>
    <w:rsid w:val="74224767"/>
    <w:rsid w:val="75354AE0"/>
    <w:rsid w:val="7D770520"/>
    <w:rsid w:val="7ED74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5497</Words>
  <Characters>5775</Characters>
  <Lines>0</Lines>
  <Paragraphs>0</Paragraphs>
  <TotalTime>1</TotalTime>
  <ScaleCrop>false</ScaleCrop>
  <LinksUpToDate>false</LinksUpToDate>
  <CharactersWithSpaces>5960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2021-03-04T16:17:00Z</dcterms:created>
  <dc:creator>翾1367974113</dc:creator>
  <cp:lastModifiedBy>HELLO</cp:lastModifiedBy>
  <dcterms:modified xsi:type="dcterms:W3CDTF">2022-06-23T01:24:30Z</dcterms:modified>
  <dc:title>爱喝酸奶的奥利奥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A9437ABEA5CC40BA821DEFD0AF2CB1DE</vt:lpwstr>
  </property>
</Properties>
</file>