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44"/>
          <w:szCs w:val="44"/>
          <w:shd w:val="clear" w:color="auto" w:fill="FFFFFF"/>
        </w:rPr>
      </w:pPr>
      <w:r>
        <w:rPr>
          <w:rFonts w:hint="eastAsia" w:cs="Arial"/>
          <w:b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cs="Arial"/>
          <w:b/>
          <w:color w:val="auto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cs="Arial"/>
          <w:b/>
          <w:color w:val="auto"/>
          <w:sz w:val="44"/>
          <w:szCs w:val="44"/>
          <w:shd w:val="clear" w:color="auto" w:fill="FFFFFF"/>
        </w:rPr>
        <w:t>年中国人民政治协商会议平顶山市卫东区委员会部门预算说明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ascii="Arial" w:hAnsi="Arial" w:cs="Arial"/>
          <w:color w:val="auto"/>
          <w:sz w:val="21"/>
          <w:szCs w:val="21"/>
        </w:rPr>
      </w:pPr>
      <w:r>
        <w:rPr>
          <w:rFonts w:hint="eastAsia" w:cs="Arial"/>
          <w:vanish/>
          <w:color w:val="auto"/>
          <w:sz w:val="20"/>
          <w:szCs w:val="20"/>
          <w:shd w:val="clear" w:color="auto" w:fill="FFFFFF"/>
        </w:rPr>
        <w:t>文号： 索引号：005452110/2018-00024 发布部门：市财政局 发布日期：2018-10-23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44"/>
          <w:szCs w:val="44"/>
          <w:shd w:val="clear" w:color="auto" w:fill="FFFFFF"/>
        </w:rPr>
      </w:pPr>
      <w:r>
        <w:rPr>
          <w:rFonts w:hint="eastAsia" w:cs="Arial"/>
          <w:b/>
          <w:color w:val="auto"/>
          <w:sz w:val="44"/>
          <w:szCs w:val="44"/>
          <w:shd w:val="clear" w:color="auto" w:fill="FFFFFF"/>
        </w:rPr>
        <w:t>目　录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color w:val="auto"/>
          <w:sz w:val="32"/>
          <w:szCs w:val="32"/>
          <w:shd w:val="clear" w:color="auto" w:fill="FFFFFF"/>
        </w:rPr>
        <w:t>第一部分　中国人民政治协商会议平顶山市卫东区委员会概况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320" w:firstLineChars="1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一、主要职能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320" w:firstLineChars="1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二、部门预算单位构成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color w:val="auto"/>
          <w:sz w:val="32"/>
          <w:szCs w:val="32"/>
          <w:shd w:val="clear" w:color="auto" w:fill="FFFFFF"/>
        </w:rPr>
        <w:t>第二部分　中国人民政治协商会议平顶山市卫东区委员会202</w:t>
      </w:r>
      <w:r>
        <w:rPr>
          <w:rFonts w:hint="eastAsia" w:cs="Arial"/>
          <w:b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cs="Arial"/>
          <w:b/>
          <w:color w:val="auto"/>
          <w:sz w:val="32"/>
          <w:szCs w:val="32"/>
          <w:shd w:val="clear" w:color="auto" w:fill="FFFFFF"/>
        </w:rPr>
        <w:t>年预算情况说明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outlineLvl w:val="9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hint="eastAsia" w:cs="Arial"/>
          <w:b/>
          <w:color w:val="auto"/>
          <w:sz w:val="32"/>
          <w:szCs w:val="32"/>
          <w:shd w:val="clear" w:color="auto" w:fill="FFFFFF"/>
        </w:rPr>
        <w:t>第三部分　名词解释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color w:val="auto"/>
          <w:sz w:val="32"/>
          <w:szCs w:val="32"/>
          <w:shd w:val="clear" w:color="auto" w:fill="FFFFFF"/>
        </w:rPr>
        <w:t>附件： 中国人民政治协商会议平顶山市卫东区委员会202</w:t>
      </w:r>
      <w:r>
        <w:rPr>
          <w:rFonts w:hint="eastAsia" w:cs="Arial"/>
          <w:b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cs="Arial"/>
          <w:b/>
          <w:color w:val="auto"/>
          <w:sz w:val="32"/>
          <w:szCs w:val="32"/>
          <w:shd w:val="clear" w:color="auto" w:fill="FFFFFF"/>
        </w:rPr>
        <w:t>年部门预算表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部门收支预算表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部门收入预算表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部门支出预算表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财政拨款收支预算表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一共公共预算支出预算表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一般公共预算“三公”经费预算表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九、</w:t>
      </w:r>
      <w:r>
        <w:rPr>
          <w:rFonts w:hint="eastAsia" w:ascii="仿宋_GB2312" w:eastAsia="仿宋_GB2312"/>
          <w:sz w:val="32"/>
          <w:szCs w:val="32"/>
        </w:rPr>
        <w:t>政府性基金支出预算表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预算</w:t>
      </w:r>
      <w:r>
        <w:rPr>
          <w:rFonts w:hint="eastAsia" w:ascii="仿宋_GB2312" w:eastAsia="仿宋_GB2312"/>
          <w:sz w:val="32"/>
          <w:szCs w:val="32"/>
        </w:rPr>
        <w:t>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整体</w:t>
      </w:r>
      <w:r>
        <w:rPr>
          <w:rFonts w:ascii="仿宋_GB2312" w:eastAsia="仿宋_GB2312"/>
          <w:sz w:val="32"/>
          <w:szCs w:val="32"/>
        </w:rPr>
        <w:t>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ascii="仿宋_GB2312" w:eastAsia="仿宋_GB2312"/>
          <w:sz w:val="32"/>
          <w:szCs w:val="32"/>
        </w:rPr>
        <w:t>预算项目绩效目标汇总表</w:t>
      </w:r>
    </w:p>
    <w:p>
      <w:pPr>
        <w:ind w:firstLine="320" w:firstLineChars="100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color w:val="auto"/>
          <w:sz w:val="32"/>
          <w:szCs w:val="32"/>
          <w:shd w:val="clear" w:color="auto" w:fill="FFFFFF"/>
        </w:rPr>
        <w:t>第一部分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color w:val="auto"/>
          <w:sz w:val="32"/>
          <w:szCs w:val="32"/>
          <w:shd w:val="clear" w:color="auto" w:fill="FFFFFF"/>
        </w:rPr>
        <w:t>中国人民政治协商会议平顶山市卫东区委员会概况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cs="Arial"/>
          <w:b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75"/>
        <w:textAlignment w:val="auto"/>
        <w:outlineLvl w:val="9"/>
        <w:rPr>
          <w:rFonts w:hint="eastAsia" w:ascii="宋体" w:hAnsi="宋体" w:eastAsia="宋体" w:cs="宋体"/>
          <w:b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color w:val="auto"/>
          <w:sz w:val="32"/>
          <w:szCs w:val="32"/>
          <w:shd w:val="clear" w:color="auto" w:fill="FFFFFF"/>
        </w:rPr>
        <w:t>中国人民政治协商会议平顶山市卫东区委员会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shd w:val="clear" w:color="auto" w:fill="FFFFFF"/>
        </w:rPr>
        <w:t>主要职能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负责政协卫东区委员会全体会议、常务委员会会议、主席会议、秘书长会议以及其他重要会议、活动的组织和服务工作。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负责政协卫东区委员会全体会议、常务委员会会议、主席会议决议、决定的具体组织实施工作。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研究统一战线和人民政协的理论、政策，提出人民政协履行职能的工作建议；起草区政协的重要文稿；协调和组织人民政协的对内对外宣传工作。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负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责协调、保障专门委员会实施专题调研计划和开展相关活动的组织服务工作。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负责区政协委员提案办理的协调和服务工作。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负责区政协委员视察、考察、调研及其重要活动的组织服务工作。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整理、报送政协组织和委员履行职能形成的调研报告、视察报告；集反映社情民意，处理政协委员和人民群众的来信来访。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负责与中共卫东区委、区人大、区政府有关部门工作联系，负责与区级各民主党派、工商联的联系协调工作。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参与区政协委员的协商推荐等有关人事工作。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负责区政协机关的机构编制、干部人事管理和外事工作。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负责区政协及机关的后勤保障及接待工作。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承办区政协领导同志交办的其它工作。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75"/>
        <w:textAlignment w:val="auto"/>
        <w:outlineLvl w:val="9"/>
        <w:rPr>
          <w:rFonts w:hint="eastAsia" w:ascii="宋体" w:hAnsi="宋体" w:eastAsia="宋体" w:cs="宋体"/>
          <w:b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color w:val="auto"/>
          <w:sz w:val="32"/>
          <w:szCs w:val="32"/>
          <w:shd w:val="clear" w:color="auto" w:fill="FFFFFF"/>
        </w:rPr>
        <w:t>中国人民政治协商会议平顶山市卫东区委员会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shd w:val="clear" w:color="auto" w:fill="FFFFFF"/>
        </w:rPr>
        <w:t xml:space="preserve">预算单位构成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55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中国人民政治协商会议平顶山市卫东区委员会202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年本部门预算仅包含本级预算，无所属单位预算。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55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9"/>
        <w:rPr>
          <w:rFonts w:hint="eastAsia"/>
          <w:b/>
          <w:bCs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9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中国人民政治协商会议平顶山市卫东区委员会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9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/>
          <w:b/>
          <w:bCs/>
          <w:color w:val="auto"/>
          <w:sz w:val="32"/>
          <w:szCs w:val="32"/>
        </w:rPr>
        <w:t>部门预算情况说明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75"/>
        <w:textAlignment w:val="auto"/>
        <w:outlineLvl w:val="9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  <w:t>一、收入支出预算总体情况说明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705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年收、支总计均为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499.1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 xml:space="preserve"> 万元，与202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年相比，收、支总计均增加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16.1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万元，上升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3.2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%。主要原因：人员支出增加。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75"/>
        <w:textAlignment w:val="auto"/>
        <w:outlineLvl w:val="9"/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  <w:t>二、收入预算总体情况说明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705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年收入预算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499.1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万元，其中：财政拨款收入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499.1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textAlignment w:val="auto"/>
        <w:outlineLvl w:val="9"/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  <w:t>三、支出预算总体情况说明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705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年支出预算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499.1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万元，按用途划分为：基本支出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417.4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83.6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%；项目支出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81.7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16.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%。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textAlignment w:val="auto"/>
        <w:outlineLvl w:val="9"/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  <w:t>四、财政拨款收入支出预算总体情况说明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705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年收、支总计均为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499.1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万元，与202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年相比，收、支总计均增加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16.1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万元，上升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3.2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%。主要原因：人员支出增加。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75"/>
        <w:textAlignment w:val="auto"/>
        <w:outlineLvl w:val="9"/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  <w:t>五、一般公共预算支出预算情况说明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705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cs="Arial"/>
          <w:color w:val="auto"/>
          <w:sz w:val="27"/>
          <w:szCs w:val="27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年一般公共预算支出年初预算为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499.1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万元。主要用于以下方面：一般公共服务（类）支出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409.2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万元，占8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2.0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%；社会保障和就业（类）支出4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5.7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万元，占9.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%； 卫生健康（类）支出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17.2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3.4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%；住房保障（类）支出2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7.0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5.4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%。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75"/>
        <w:textAlignment w:val="auto"/>
        <w:outlineLvl w:val="9"/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  <w:t>六、支出预算经济分类情况说明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《财政部关于印发&lt;支出经济分类科目改革方案&gt;的通知》（财预[2017]98号)要求，从2018年起全面实施支出经济分类科目改革，根据政府预算管理和部门预算管理的不同特点，分设部门预算支出经济分类科目和政府预算支出经济分类科目，两套科目之间保持对应关系。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《支出经济分类汇总表》，按两套经济分类科目分别反应不同资金来源的全部预算支出。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年预算支出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499.1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万元，其中：基本支出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417.4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81.7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主要包括：办公费、印刷费、邮电费、差旅费、维修（护）费、租赁费、会议费、培训费、公务接待费、劳务费、福利费、公务用车运行维护费、其他交通费用、其他商品和服务支出、办公设备购置、信息网络及软件购置更新和其他支出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75"/>
        <w:textAlignment w:val="auto"/>
        <w:outlineLvl w:val="9"/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  <w:t>七、“三公”经费支出预算情况说明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年“三公”经费预算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万元,202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年“三公”经费支出预算数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比</w:t>
      </w:r>
      <w:r>
        <w:rPr>
          <w:rFonts w:hint="eastAsia" w:ascii="仿宋_GB2312" w:hAnsi="宋体" w:eastAsia="仿宋_GB2312" w:cs="Courier New"/>
          <w:sz w:val="32"/>
          <w:szCs w:val="32"/>
        </w:rPr>
        <w:t>2021年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减少7.5万元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，主要原因是继续贯彻落实中央八项规定精神，坚持厉行勤俭节约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具体支出情况如下：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ascii="Arial" w:hAnsi="Arial" w:cs="Arial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（一）因公出国（境）费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预算0万元，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主要用于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出国(境)的住宿费、旅费、伙食补助费、杂费、培训费等支出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。预算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与上年持平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，主要原因是认真贯彻中央八项规定精神，坚持厉行勤俭节约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ascii="Arial" w:hAnsi="Arial" w:cs="Arial"/>
          <w:color w:val="auto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（二）公务用车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购置及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运行费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万元，预算数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比</w:t>
      </w:r>
      <w:r>
        <w:rPr>
          <w:rFonts w:hint="eastAsia" w:ascii="仿宋_GB2312" w:hAnsi="宋体" w:eastAsia="仿宋_GB2312" w:cs="Courier New"/>
          <w:sz w:val="32"/>
          <w:szCs w:val="32"/>
        </w:rPr>
        <w:t>2021年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减少7万元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占“三公”经费总额的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100.0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%。其中，公务用车运行费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比</w:t>
      </w:r>
      <w:r>
        <w:rPr>
          <w:rFonts w:hint="eastAsia" w:ascii="仿宋_GB2312" w:hAnsi="宋体" w:eastAsia="仿宋_GB2312" w:cs="Courier New"/>
          <w:sz w:val="32"/>
          <w:szCs w:val="32"/>
        </w:rPr>
        <w:t>2021年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减少7万元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主要用于日常公务发生的燃料费、维修费、过路过桥费、保险费等支出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占“三公”经费总额的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100.0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%；公务用车购置0万元, 比上年持平，主要原因是落实公车改革政策、加强公务用车管理，严控公务用车支出。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（三）公务接待费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0.0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主要用于规定开支的各类公务接待（含外宾接待）支出。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预算数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比</w:t>
      </w:r>
      <w:r>
        <w:rPr>
          <w:rFonts w:hint="eastAsia" w:ascii="仿宋_GB2312" w:hAnsi="宋体" w:eastAsia="仿宋_GB2312" w:cs="Courier New"/>
          <w:sz w:val="32"/>
          <w:szCs w:val="32"/>
        </w:rPr>
        <w:t>20</w:t>
      </w:r>
      <w:r>
        <w:rPr>
          <w:rFonts w:ascii="仿宋_GB2312" w:hAnsi="宋体" w:eastAsia="仿宋_GB2312" w:cs="Courier New"/>
          <w:sz w:val="32"/>
          <w:szCs w:val="32"/>
        </w:rPr>
        <w:t>21</w:t>
      </w:r>
      <w:r>
        <w:rPr>
          <w:rFonts w:hint="eastAsia" w:ascii="仿宋_GB2312" w:hAnsi="宋体" w:eastAsia="仿宋_GB2312" w:cs="Courier New"/>
          <w:sz w:val="32"/>
          <w:szCs w:val="32"/>
        </w:rPr>
        <w:t>年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减少0.5万元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 xml:space="preserve">占“三公”经费总额的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0.0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  <w:t>八、政府性基金预算支出预算情况说明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部门202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年政府性基金预算支出0万元，预算数与上年持平。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bCs/>
          <w:color w:val="auto"/>
          <w:sz w:val="32"/>
          <w:szCs w:val="32"/>
          <w:shd w:val="clear" w:color="auto" w:fill="FFFFFF"/>
          <w:lang w:eastAsia="zh-CN"/>
        </w:rPr>
        <w:t>九、</w:t>
      </w:r>
      <w:r>
        <w:rPr>
          <w:rFonts w:hint="eastAsia" w:cs="Arial"/>
          <w:b/>
          <w:bCs/>
          <w:color w:val="auto"/>
          <w:sz w:val="32"/>
          <w:szCs w:val="32"/>
          <w:shd w:val="clear" w:color="auto" w:fill="FFFFFF"/>
        </w:rPr>
        <w:t>其他重要事项的情况说明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（一）机关运行经费支出情况  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cs="Arial"/>
          <w:b/>
          <w:bCs/>
          <w:color w:val="auto"/>
          <w:sz w:val="27"/>
          <w:szCs w:val="27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年，机关运行经费支出预算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13.2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万元，主要用于办公及印刷费、邮电费、差旅费、会议费、水、电、暖、物业管理等运行维护费、公务用车运行维护费以及其他费用。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（二）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 xml:space="preserve">政府采购情况说明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年，政府采购预算安排0万元，预算数与202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1持平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。其中：政府采购货物预算0万元、政府采购工程预算0万元、政府采购服务预算0万元。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（三）绩效目标设置情况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cs="Arial"/>
          <w:b/>
          <w:bCs/>
          <w:color w:val="auto"/>
          <w:sz w:val="27"/>
          <w:szCs w:val="27"/>
          <w:shd w:val="clear" w:color="auto" w:fill="FFFFFF"/>
        </w:rPr>
      </w:pPr>
      <w:r>
        <w:rPr>
          <w:rFonts w:hint="eastAsia" w:cs="Arial"/>
          <w:color w:val="auto"/>
          <w:sz w:val="27"/>
          <w:szCs w:val="27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年，我单位按要求编制了绩效目标，从项目产出、项目效益、满意度等方面设置了绩效指标，综合反映项目预期完成的数量、实效、质量，预期达到的社会经济效益、可持续影响以及服务对象满意度等情况。 </w:t>
      </w:r>
      <w:r>
        <w:rPr>
          <w:rFonts w:hint="eastAsia" w:cs="Arial"/>
          <w:b/>
          <w:bCs/>
          <w:color w:val="auto"/>
          <w:sz w:val="27"/>
          <w:szCs w:val="27"/>
          <w:shd w:val="clear" w:color="auto" w:fill="FFFFFF"/>
        </w:rPr>
        <w:t xml:space="preserve">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(四)国有资产占用情况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期末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，我单位共有车辆2辆，其中：一般公务用车2辆,一般执法执勤用车0辆、特种专业技术用车0辆，其他用车0辆；单价50万元以上通用设备0套，单位价值100万元以上专用设备0套。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(五) 专项转移支付项目情况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我单位202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年没有专项转移支付项目。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3213" w:firstLineChars="1000"/>
        <w:jc w:val="both"/>
        <w:textAlignment w:val="auto"/>
        <w:outlineLvl w:val="9"/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</w:pPr>
      <w:r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  <w:t>第三部分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3213" w:firstLineChars="1000"/>
        <w:jc w:val="both"/>
        <w:textAlignment w:val="auto"/>
        <w:outlineLvl w:val="9"/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</w:pPr>
      <w:r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  <w:t>名词解释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一、财政拨款收入：是指省级财政当年拨付的资金。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二、事业收入：是指事业单位开展专业活动及辅助活动所取得的收入。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三、其他收入：是指部门取得的除“财政拨款”、“事业收入”、“事业单位经营收入”等以外的收入。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六、项目支出：是指在基本支出之外，为完成特定的行政工作任务或事业发展目标所发生的支出。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27"/>
          <w:szCs w:val="27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285" w:firstLineChars="400"/>
        <w:textAlignment w:val="auto"/>
        <w:outlineLvl w:val="9"/>
        <w:rPr>
          <w:rFonts w:hint="eastAsia"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val="en-US" w:eastAsia="zh-CN" w:bidi="ar-SA"/>
        </w:rPr>
        <w:t>中国人民政治协商会议河南省平顶山市卫东区委员会办公室2022年部门预算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2F6CEB"/>
    <w:multiLevelType w:val="singleLevel"/>
    <w:tmpl w:val="802F6C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B0097A9"/>
    <w:multiLevelType w:val="singleLevel"/>
    <w:tmpl w:val="9B0097A9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64068E17"/>
    <w:multiLevelType w:val="singleLevel"/>
    <w:tmpl w:val="64068E1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mJhMDk1MWRiNTNlZWNmNGQwMDhiMDlkY2ZiOTkifQ=="/>
  </w:docVars>
  <w:rsids>
    <w:rsidRoot w:val="00000000"/>
    <w:rsid w:val="0F3A28DC"/>
    <w:rsid w:val="1E5E5637"/>
    <w:rsid w:val="2CF2403D"/>
    <w:rsid w:val="2FD420D8"/>
    <w:rsid w:val="317425D4"/>
    <w:rsid w:val="3AC6198C"/>
    <w:rsid w:val="4736172C"/>
    <w:rsid w:val="52E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9339</Words>
  <Characters>10951</Characters>
  <Lines>0</Lines>
  <Paragraphs>0</Paragraphs>
  <TotalTime>432</TotalTime>
  <ScaleCrop>false</ScaleCrop>
  <LinksUpToDate>false</LinksUpToDate>
  <CharactersWithSpaces>11106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2022-03-15T07:23:00Z</dcterms:created>
  <dc:creator>Administrator</dc:creator>
  <cp:lastModifiedBy>HELLO</cp:lastModifiedBy>
  <dcterms:modified xsi:type="dcterms:W3CDTF">2022-06-29T10:23:03Z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5F4D0784CB0F49A1B0C6B851CA6EB8C7</vt:lpwstr>
  </property>
</Properties>
</file>